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95018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艺术学院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5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-202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6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学年第</w:t>
      </w: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一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学期</w:t>
      </w:r>
    </w:p>
    <w:bookmarkEnd w:id="0"/>
    <w:p w14:paraId="64C3C115">
      <w:pPr>
        <w:pStyle w:val="2"/>
        <w:widowControl/>
        <w:shd w:val="clear" w:color="auto" w:fill="FFFFFF"/>
        <w:spacing w:beforeAutospacing="0" w:afterAutospacing="0" w:line="360" w:lineRule="auto"/>
        <w:jc w:val="center"/>
        <w:rPr>
          <w:rFonts w:hint="default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shd w:val="clear" w:color="auto" w:fill="FFFFFF"/>
          <w:lang w:val="en-US" w:eastAsia="zh-CN"/>
        </w:rPr>
        <w:t>学生</w:t>
      </w:r>
      <w:r>
        <w:rPr>
          <w:rFonts w:asciiTheme="majorEastAsia" w:hAnsiTheme="majorEastAsia" w:eastAsiaTheme="majorEastAsia" w:cstheme="majorEastAsia"/>
          <w:sz w:val="44"/>
          <w:szCs w:val="44"/>
          <w:shd w:val="clear" w:color="auto" w:fill="FFFFFF"/>
        </w:rPr>
        <w:t>转专业工作方案</w:t>
      </w:r>
    </w:p>
    <w:p w14:paraId="49F75022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仿宋"/>
          <w:lang w:val="en-US"/>
        </w:rPr>
      </w:pPr>
    </w:p>
    <w:p w14:paraId="55A20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仿宋" w:eastAsia="仿宋_GB2312"/>
          <w:sz w:val="32"/>
          <w:szCs w:val="32"/>
        </w:rPr>
        <w:t>重庆人文科技学院教务处关于202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-202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》（</w:t>
      </w:r>
      <w:r>
        <w:rPr>
          <w:rFonts w:hint="eastAsia" w:ascii="仿宋_GB2312" w:hAnsi="仿宋" w:eastAsia="仿宋_GB2312"/>
          <w:sz w:val="32"/>
          <w:szCs w:val="32"/>
        </w:rPr>
        <w:t>教务函〔202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sz w:val="32"/>
          <w:szCs w:val="32"/>
        </w:rPr>
        <w:t>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hAnsi="仿宋" w:eastAsia="仿宋_GB2312"/>
          <w:sz w:val="32"/>
          <w:szCs w:val="32"/>
        </w:rPr>
        <w:t>号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要求，按照学校转专业工作的相关规定，结合学院实际特制定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艺术学院2025-2026学年第一学期学生转专业工作的</w:t>
      </w:r>
      <w:r>
        <w:rPr>
          <w:rFonts w:hint="eastAsia" w:ascii="仿宋_GB2312" w:hAnsi="仿宋" w:eastAsia="仿宋_GB2312"/>
          <w:sz w:val="32"/>
          <w:szCs w:val="32"/>
        </w:rPr>
        <w:t>实施方案。</w:t>
      </w:r>
    </w:p>
    <w:p w14:paraId="7BBB0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一、组织安排</w:t>
      </w:r>
    </w:p>
    <w:p w14:paraId="46D0DF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根据学校文件要求，成立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</w:t>
      </w:r>
      <w:r>
        <w:rPr>
          <w:rFonts w:hint="eastAsia" w:ascii="仿宋_GB2312" w:hAnsi="仿宋" w:eastAsia="仿宋_GB2312"/>
          <w:sz w:val="32"/>
          <w:szCs w:val="32"/>
        </w:rPr>
        <w:t>转专业工作小组。具体安排如下：</w:t>
      </w:r>
    </w:p>
    <w:p w14:paraId="32153B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  长：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杨璟</w:t>
      </w:r>
      <w:r>
        <w:rPr>
          <w:rFonts w:hint="eastAsia" w:ascii="仿宋_GB2312" w:hAnsi="仿宋" w:eastAsia="仿宋_GB2312"/>
          <w:sz w:val="32"/>
          <w:szCs w:val="32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唐元</w:t>
      </w:r>
    </w:p>
    <w:p w14:paraId="10D621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成  员：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范瑞利、李鑫、梁清月、张莹、李帅、林兮、李丽、刘好、黎婵、彭婷婷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刘汉</w:t>
      </w:r>
    </w:p>
    <w:p w14:paraId="73247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/>
          <w:bCs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工作内容：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研判艺术学院各专业学生专业条件；制订艺术学院学生转专业工作方案；确定艺术学院接收转入计划；解答学生转专业相关事宜；审核学生转专业资格及相关材料、流程；组织转专业考核；</w:t>
      </w:r>
      <w:r>
        <w:rPr>
          <w:rFonts w:hint="eastAsia" w:ascii="仿宋_GB2312" w:hAnsi="仿宋" w:eastAsia="仿宋_GB2312"/>
          <w:sz w:val="32"/>
          <w:szCs w:val="32"/>
          <w:lang w:val="en-US"/>
        </w:rPr>
        <w:t>确定拟接收学生名单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；负责转入学生的后续管理。</w:t>
      </w:r>
    </w:p>
    <w:p w14:paraId="17EA8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bCs/>
          <w:sz w:val="32"/>
          <w:szCs w:val="32"/>
        </w:rPr>
        <w:t>转专业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接收</w:t>
      </w:r>
      <w:r>
        <w:rPr>
          <w:rFonts w:hint="eastAsia" w:ascii="黑体" w:hAnsi="黑体" w:eastAsia="黑体"/>
          <w:bCs/>
          <w:sz w:val="32"/>
          <w:szCs w:val="32"/>
        </w:rPr>
        <w:t>计划</w:t>
      </w:r>
    </w:p>
    <w:tbl>
      <w:tblPr>
        <w:tblStyle w:val="5"/>
        <w:tblW w:w="0" w:type="auto"/>
        <w:tblInd w:w="392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2537"/>
        <w:gridCol w:w="3304"/>
      </w:tblGrid>
      <w:tr w14:paraId="7CFE66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7" w:type="dxa"/>
            <w:vAlign w:val="center"/>
          </w:tcPr>
          <w:p w14:paraId="3FC4E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ascii="仿宋" w:hAnsi="仿宋" w:eastAsia="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</w:rPr>
              <w:t>专业</w:t>
            </w:r>
          </w:p>
        </w:tc>
        <w:tc>
          <w:tcPr>
            <w:tcW w:w="2537" w:type="dxa"/>
            <w:vAlign w:val="center"/>
          </w:tcPr>
          <w:p w14:paraId="0890B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  <w:t>接收计划</w:t>
            </w:r>
          </w:p>
        </w:tc>
        <w:tc>
          <w:tcPr>
            <w:tcW w:w="3304" w:type="dxa"/>
            <w:vAlign w:val="center"/>
          </w:tcPr>
          <w:p w14:paraId="73E2B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0"/>
                <w:szCs w:val="30"/>
                <w:lang w:val="en-US" w:eastAsia="zh-CN"/>
              </w:rPr>
              <w:t>科类要求</w:t>
            </w:r>
          </w:p>
        </w:tc>
      </w:tr>
      <w:tr w14:paraId="7965C8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7" w:type="dxa"/>
            <w:vAlign w:val="center"/>
          </w:tcPr>
          <w:p w14:paraId="08FE56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美术学</w:t>
            </w:r>
          </w:p>
        </w:tc>
        <w:tc>
          <w:tcPr>
            <w:tcW w:w="2537" w:type="dxa"/>
            <w:vAlign w:val="center"/>
          </w:tcPr>
          <w:p w14:paraId="36092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4人</w:t>
            </w:r>
          </w:p>
        </w:tc>
        <w:tc>
          <w:tcPr>
            <w:tcW w:w="3304" w:type="dxa"/>
            <w:vAlign w:val="center"/>
          </w:tcPr>
          <w:p w14:paraId="31491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限美术生</w:t>
            </w:r>
          </w:p>
        </w:tc>
      </w:tr>
      <w:tr w14:paraId="618D16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7" w:type="dxa"/>
            <w:vAlign w:val="center"/>
          </w:tcPr>
          <w:p w14:paraId="3003F6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default" w:ascii="仿宋" w:hAnsi="仿宋" w:eastAsia="仿宋" w:cs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广播电视编导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048F3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30"/>
                <w:szCs w:val="30"/>
                <w:lang w:val="en-US" w:eastAsia="zh-CN"/>
              </w:rPr>
              <w:t>4人</w:t>
            </w:r>
          </w:p>
        </w:tc>
        <w:tc>
          <w:tcPr>
            <w:tcW w:w="3304" w:type="dxa"/>
            <w:shd w:val="clear" w:color="auto" w:fill="auto"/>
            <w:vAlign w:val="center"/>
          </w:tcPr>
          <w:p w14:paraId="4D184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 w:val="30"/>
                <w:szCs w:val="30"/>
              </w:rPr>
            </w:pPr>
          </w:p>
        </w:tc>
      </w:tr>
    </w:tbl>
    <w:p w14:paraId="74A1C5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bCs/>
          <w:sz w:val="32"/>
          <w:szCs w:val="32"/>
          <w:lang w:val="en-US"/>
        </w:rPr>
        <w:t>、转专业</w:t>
      </w:r>
      <w:r>
        <w:rPr>
          <w:rFonts w:hint="eastAsia" w:ascii="黑体" w:hAnsi="黑体" w:eastAsia="黑体"/>
          <w:bCs/>
          <w:sz w:val="32"/>
          <w:szCs w:val="32"/>
        </w:rPr>
        <w:t>申请资格</w:t>
      </w:r>
    </w:p>
    <w:p w14:paraId="6B011C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根据《重庆人文科技学院学生学籍管理办法（修订）》（重人科〔2017〕181号）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《重庆人文科技学院学生转专业管理办法》（重人科〔2021〕99号）文件规定，学生申请转专业必须遵循下列原则：</w:t>
      </w:r>
    </w:p>
    <w:p w14:paraId="0D9669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3" w:firstLineChars="250"/>
        <w:textAlignment w:val="auto"/>
        <w:rPr>
          <w:rFonts w:hint="eastAsia" w:ascii="仿宋_GB2312" w:hAnsi="仿宋" w:eastAsia="仿宋_GB2312" w:cs="仿宋"/>
          <w:b/>
          <w:bCs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zh-CN" w:bidi="zh-CN"/>
        </w:rPr>
        <w:t>（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bidi="zh-CN"/>
        </w:rPr>
        <w:t>一）</w:t>
      </w:r>
      <w:r>
        <w:rPr>
          <w:rFonts w:hint="eastAsia" w:ascii="仿宋_GB2312" w:hAnsi="仿宋" w:eastAsia="仿宋_GB2312" w:cs="仿宋"/>
          <w:b/>
          <w:bCs/>
          <w:sz w:val="32"/>
          <w:szCs w:val="32"/>
          <w:lang w:val="zh-CN" w:bidi="zh-CN"/>
        </w:rPr>
        <w:t>学生申请转专业必须遵循下列原则</w:t>
      </w:r>
    </w:p>
    <w:p w14:paraId="7122B28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1.</w:t>
      </w:r>
      <w:r>
        <w:rPr>
          <w:rFonts w:hint="eastAsia" w:ascii="仿宋_GB2312" w:hAnsi="仿宋" w:eastAsia="仿宋_GB2312" w:cs="仿宋"/>
        </w:rPr>
        <w:t>已取得正式学籍并在校学习一学期及以上；</w:t>
      </w:r>
    </w:p>
    <w:p w14:paraId="31FF6C5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2.</w:t>
      </w:r>
      <w:r>
        <w:rPr>
          <w:rFonts w:hint="eastAsia" w:ascii="仿宋_GB2312" w:hAnsi="仿宋" w:eastAsia="仿宋_GB2312" w:cs="仿宋"/>
        </w:rPr>
        <w:t>招生时确定为定向培养、委托培养、三校生等招生时</w:t>
      </w:r>
      <w:r>
        <w:rPr>
          <w:rFonts w:hint="eastAsia" w:ascii="仿宋_GB2312" w:hAnsi="仿宋" w:eastAsia="仿宋_GB2312" w:cs="仿宋"/>
          <w:lang w:val="en-US"/>
        </w:rPr>
        <w:t>或</w:t>
      </w:r>
      <w:r>
        <w:rPr>
          <w:rFonts w:hint="eastAsia" w:ascii="仿宋_GB2312" w:hAnsi="仿宋" w:eastAsia="仿宋_GB2312" w:cs="仿宋"/>
        </w:rPr>
        <w:t>有特殊要求的专业不能转入普通类（统一考试录取）专业；</w:t>
      </w:r>
    </w:p>
    <w:p w14:paraId="7F0F844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3.</w:t>
      </w:r>
      <w:r>
        <w:rPr>
          <w:rFonts w:hint="eastAsia" w:ascii="仿宋_GB2312" w:hAnsi="仿宋" w:eastAsia="仿宋_GB2312" w:cs="仿宋"/>
        </w:rPr>
        <w:t>高考招生录取的下一批次专业不能转入上一批次专业，低学历层次专业不能转入高学历层次专业；</w:t>
      </w:r>
    </w:p>
    <w:p w14:paraId="43B1A0B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4.</w:t>
      </w:r>
      <w:r>
        <w:rPr>
          <w:rFonts w:hint="eastAsia" w:ascii="仿宋_GB2312" w:hAnsi="仿宋" w:eastAsia="仿宋_GB2312" w:cs="仿宋"/>
        </w:rPr>
        <w:t>专升本学生不能转专业；</w:t>
      </w:r>
    </w:p>
    <w:p w14:paraId="5287CB8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5.</w:t>
      </w:r>
      <w:r>
        <w:rPr>
          <w:rFonts w:hint="eastAsia" w:ascii="仿宋_GB2312" w:hAnsi="仿宋" w:eastAsia="仿宋_GB2312" w:cs="仿宋"/>
        </w:rPr>
        <w:t>艺术类专业与非艺术类专业之间不能互转；</w:t>
      </w:r>
    </w:p>
    <w:p w14:paraId="357FDF4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6.</w:t>
      </w:r>
      <w:r>
        <w:rPr>
          <w:rFonts w:hint="eastAsia" w:ascii="仿宋_GB2312" w:hAnsi="仿宋" w:eastAsia="仿宋_GB2312" w:cs="仿宋"/>
        </w:rPr>
        <w:t>学生毕业当年不能转专业；</w:t>
      </w:r>
    </w:p>
    <w:p w14:paraId="0DCFC1D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7.</w:t>
      </w:r>
      <w:r>
        <w:rPr>
          <w:rFonts w:hint="eastAsia" w:ascii="仿宋_GB2312" w:hAnsi="仿宋" w:eastAsia="仿宋_GB2312" w:cs="仿宋"/>
        </w:rPr>
        <w:t>正在休学、保留学籍的学生不能转专业；</w:t>
      </w:r>
    </w:p>
    <w:p w14:paraId="7AE56B7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 w:cs="仿宋"/>
          <w:lang w:val="en-US"/>
        </w:rPr>
        <w:t>8.</w:t>
      </w:r>
      <w:r>
        <w:rPr>
          <w:rFonts w:hint="eastAsia" w:ascii="仿宋_GB2312" w:hAnsi="仿宋" w:eastAsia="仿宋_GB2312" w:cs="仿宋"/>
        </w:rPr>
        <w:t>应予办理退学的不能转专业；</w:t>
      </w:r>
    </w:p>
    <w:p w14:paraId="2D3CA42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9.</w:t>
      </w:r>
      <w:r>
        <w:rPr>
          <w:rFonts w:hint="eastAsia" w:ascii="仿宋_GB2312" w:hAnsi="仿宋" w:eastAsia="仿宋_GB2312"/>
        </w:rPr>
        <w:t>在校期间受警告及以上处分未解除的</w:t>
      </w:r>
      <w:r>
        <w:rPr>
          <w:rFonts w:hint="eastAsia" w:ascii="仿宋_GB2312" w:hAnsi="仿宋" w:eastAsia="仿宋_GB2312" w:cs="仿宋"/>
        </w:rPr>
        <w:t>不能转专业</w:t>
      </w:r>
      <w:r>
        <w:rPr>
          <w:rFonts w:hint="eastAsia" w:ascii="仿宋_GB2312" w:hAnsi="仿宋" w:eastAsia="仿宋_GB2312"/>
        </w:rPr>
        <w:t>；</w:t>
      </w:r>
    </w:p>
    <w:p w14:paraId="27CFADF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  <w:lang w:val="en-US"/>
        </w:rPr>
        <w:t>10.</w:t>
      </w:r>
      <w:r>
        <w:rPr>
          <w:rFonts w:hint="eastAsia" w:ascii="仿宋_GB2312" w:hAnsi="仿宋" w:eastAsia="仿宋_GB2312"/>
        </w:rPr>
        <w:t>教育部、重庆市主管部门明确规定的其他不能转专业的；</w:t>
      </w:r>
    </w:p>
    <w:p w14:paraId="35225001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bidi="zh-CN"/>
        </w:rPr>
        <w:t>11.</w:t>
      </w:r>
      <w:r>
        <w:rPr>
          <w:rFonts w:hint="eastAsia" w:ascii="仿宋_GB2312" w:hAnsi="仿宋" w:eastAsia="仿宋_GB2312" w:cs="宋体"/>
          <w:kern w:val="2"/>
          <w:sz w:val="32"/>
          <w:szCs w:val="32"/>
          <w:lang w:val="zh-CN" w:bidi="zh-CN"/>
        </w:rPr>
        <w:t>其他无正当理由不符合转专业情形的不能转专业。</w:t>
      </w:r>
    </w:p>
    <w:p w14:paraId="473699C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3" w:firstLineChars="200"/>
        <w:jc w:val="left"/>
        <w:textAlignment w:val="auto"/>
        <w:rPr>
          <w:rFonts w:hint="eastAsia"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b/>
          <w:bCs/>
          <w:sz w:val="32"/>
          <w:szCs w:val="32"/>
          <w:lang w:val="en-US" w:eastAsia="zh-CN"/>
        </w:rPr>
        <w:t>二）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符合下列情况之一者，可申请先降级后转专业</w:t>
      </w:r>
    </w:p>
    <w:p w14:paraId="31A06A5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1.转入专业有接收条件，而学生学业条件未达到转入专业要求的，可自愿申请先降级、再经组织考核符合转专业条件的；</w:t>
      </w:r>
    </w:p>
    <w:p w14:paraId="3BE4B3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</w:rPr>
      </w:pPr>
      <w:r>
        <w:rPr>
          <w:rFonts w:hint="eastAsia" w:ascii="仿宋_GB2312" w:hAnsi="仿宋" w:eastAsia="仿宋_GB2312"/>
          <w:sz w:val="32"/>
          <w:szCs w:val="32"/>
        </w:rPr>
        <w:t>2.经考核符合转专业条件，但入学满一年或转专业后需补修课程的学分数累计达20及以上学分的。</w:t>
      </w:r>
    </w:p>
    <w:p w14:paraId="4081D3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四、转专业学生审核及考核办法</w:t>
      </w:r>
    </w:p>
    <w:p w14:paraId="1C5D77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3" w:firstLineChars="250"/>
        <w:textAlignment w:val="auto"/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（一）转出学生条件</w:t>
      </w:r>
    </w:p>
    <w:p w14:paraId="3EB388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学院根据转出要求进行审核，转出学生由接收学院进行条件审核。</w:t>
      </w:r>
    </w:p>
    <w:p w14:paraId="2DF69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3" w:firstLineChars="250"/>
        <w:textAlignment w:val="auto"/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（二）转入学生条件</w:t>
      </w:r>
    </w:p>
    <w:p w14:paraId="254520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转入学生在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申请资格</w:t>
      </w:r>
      <w:r>
        <w:rPr>
          <w:rFonts w:hint="eastAsia" w:ascii="仿宋_GB2312" w:hAnsi="仿宋" w:eastAsia="仿宋_GB2312"/>
          <w:sz w:val="32"/>
          <w:szCs w:val="32"/>
        </w:rPr>
        <w:t>条件外，还需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满足以下</w:t>
      </w:r>
      <w:r>
        <w:rPr>
          <w:rFonts w:hint="eastAsia" w:ascii="仿宋_GB2312" w:hAnsi="仿宋" w:eastAsia="仿宋_GB2312"/>
          <w:sz w:val="32"/>
          <w:szCs w:val="32"/>
        </w:rPr>
        <w:t>条件：</w:t>
      </w:r>
    </w:p>
    <w:p w14:paraId="0B5E22A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1.申请学生的高考成绩总分不低于拟转入</w:t>
      </w:r>
      <w:r>
        <w:rPr>
          <w:rFonts w:hint="eastAsia" w:ascii="仿宋_GB2312" w:hAnsi="仿宋" w:eastAsia="仿宋_GB2312"/>
          <w:sz w:val="32"/>
          <w:szCs w:val="32"/>
        </w:rPr>
        <w:t>专业当年当地录取分数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在此基础上，转入美术学专业的学生</w:t>
      </w:r>
      <w:r>
        <w:rPr>
          <w:rFonts w:hint="eastAsia" w:ascii="仿宋_GB2312" w:hAnsi="仿宋" w:eastAsia="仿宋_GB2312"/>
          <w:sz w:val="32"/>
          <w:szCs w:val="32"/>
        </w:rPr>
        <w:t>不低于学生当年当地该专业录取最低分数线；</w:t>
      </w:r>
    </w:p>
    <w:p w14:paraId="2795C1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学习勤奋，对所转专业有一定的了解。</w:t>
      </w:r>
    </w:p>
    <w:p w14:paraId="621241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3" w:firstLineChars="250"/>
        <w:textAlignment w:val="auto"/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（三）考核办法</w:t>
      </w:r>
    </w:p>
    <w:p w14:paraId="7537F9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00" w:firstLineChars="200"/>
        <w:textAlignment w:val="auto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资格与条件审查。</w:t>
      </w:r>
    </w:p>
    <w:p w14:paraId="2CF40D2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ascii="仿宋_GB2312" w:hAnsi="仿宋" w:eastAsia="仿宋_GB2312" w:cs="仿宋"/>
          <w:lang w:val="en-US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 w:bidi="ar-SA"/>
        </w:rPr>
        <w:t>2.面试</w:t>
      </w:r>
      <w:r>
        <w:rPr>
          <w:rFonts w:hint="eastAsia" w:ascii="仿宋" w:hAnsi="仿宋" w:eastAsia="仿宋" w:cs="宋体"/>
          <w:b/>
          <w:kern w:val="0"/>
          <w:sz w:val="30"/>
          <w:szCs w:val="30"/>
          <w:lang w:val="en-US" w:eastAsia="zh-CN"/>
        </w:rPr>
        <w:t>：</w:t>
      </w:r>
      <w:r>
        <w:rPr>
          <w:rFonts w:hint="eastAsia" w:ascii="仿宋_GB2312" w:hAnsi="仿宋" w:eastAsia="仿宋_GB2312" w:cs="仿宋"/>
          <w:lang w:val="en-US"/>
        </w:rPr>
        <w:t>主要</w:t>
      </w:r>
      <w:r>
        <w:rPr>
          <w:rFonts w:hint="eastAsia" w:ascii="仿宋_GB2312" w:hAnsi="仿宋" w:eastAsia="仿宋_GB2312" w:cs="仿宋"/>
          <w:lang w:val="en-US" w:eastAsia="zh-CN"/>
        </w:rPr>
        <w:t>考查</w:t>
      </w:r>
      <w:r>
        <w:rPr>
          <w:rFonts w:hint="eastAsia" w:ascii="仿宋_GB2312" w:hAnsi="仿宋" w:eastAsia="仿宋_GB2312" w:cs="仿宋"/>
          <w:lang w:val="en-US"/>
        </w:rPr>
        <w:t>学生的</w:t>
      </w:r>
      <w:r>
        <w:rPr>
          <w:rFonts w:hint="eastAsia" w:ascii="仿宋_GB2312" w:hAnsi="仿宋" w:eastAsia="仿宋_GB2312" w:cs="仿宋"/>
          <w:lang w:val="en-US" w:eastAsia="zh-CN"/>
        </w:rPr>
        <w:t>品德</w:t>
      </w:r>
      <w:r>
        <w:rPr>
          <w:rFonts w:hint="eastAsia" w:ascii="仿宋_GB2312" w:hAnsi="仿宋" w:eastAsia="仿宋_GB2312" w:cs="仿宋"/>
          <w:lang w:val="en-US"/>
        </w:rPr>
        <w:t>个性、综合素质、</w:t>
      </w:r>
      <w:r>
        <w:rPr>
          <w:rFonts w:hint="eastAsia" w:ascii="仿宋_GB2312" w:hAnsi="仿宋" w:eastAsia="仿宋_GB2312" w:cs="仿宋"/>
          <w:lang w:val="en-US" w:eastAsia="zh-CN"/>
        </w:rPr>
        <w:t>对所转专业的了解情况</w:t>
      </w:r>
      <w:r>
        <w:rPr>
          <w:rFonts w:hint="eastAsia" w:ascii="仿宋_GB2312" w:hAnsi="仿宋" w:eastAsia="仿宋_GB2312" w:cs="仿宋"/>
          <w:lang w:val="en-US"/>
        </w:rPr>
        <w:t>等。</w:t>
      </w:r>
    </w:p>
    <w:p w14:paraId="43ECE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" w:hAnsi="仿宋" w:eastAsia="仿宋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根据可接纳的学生人数进行择优录取，最终确定拟同意接收转专业（含降级转专业）学生名单。</w:t>
      </w:r>
    </w:p>
    <w:p w14:paraId="5DE7CD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</w:p>
    <w:p w14:paraId="4ECA15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bCs/>
          <w:sz w:val="32"/>
          <w:szCs w:val="32"/>
          <w:lang w:val="en-US"/>
        </w:rPr>
        <w:t>、工作流程</w:t>
      </w:r>
    </w:p>
    <w:p w14:paraId="7A0A20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（一）学生线上申请</w:t>
      </w:r>
      <w:r>
        <w:rPr>
          <w:rFonts w:hint="eastAsia" w:ascii="仿宋_GB2312" w:hAnsi="仿宋" w:eastAsia="仿宋_GB2312" w:cs="仿宋"/>
          <w:kern w:val="2"/>
          <w:sz w:val="32"/>
          <w:szCs w:val="32"/>
          <w:lang w:val="en-US" w:eastAsia="zh-CN" w:bidi="zh-CN"/>
        </w:rPr>
        <w:t>：根据通知要求，学生完成线上申请。</w:t>
      </w:r>
    </w:p>
    <w:p w14:paraId="45F24F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_GB2312" w:cs="宋体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（二）专业咨询：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</w:t>
      </w:r>
      <w:r>
        <w:rPr>
          <w:rFonts w:hint="eastAsia" w:ascii="仿宋_GB2312" w:hAnsi="仿宋" w:eastAsia="仿宋_GB2312"/>
          <w:sz w:val="32"/>
          <w:szCs w:val="32"/>
        </w:rPr>
        <w:t>转专业工作小组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指定具体责任人就学生转专业事宜进行解答，接受咨询。</w:t>
      </w:r>
    </w:p>
    <w:p w14:paraId="028DFB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（三）学院审查与考核：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根据通知要求，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艺术学院完成转专业审核，并将《转专业考核结果通知单》送达学生本人</w:t>
      </w:r>
      <w:r>
        <w:rPr>
          <w:rFonts w:ascii="仿宋" w:hAnsi="仿宋" w:eastAsia="仿宋" w:cs="宋体"/>
          <w:kern w:val="0"/>
          <w:sz w:val="30"/>
          <w:szCs w:val="30"/>
        </w:rPr>
        <w:t>。</w:t>
      </w:r>
    </w:p>
    <w:p w14:paraId="347ED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sz w:val="32"/>
          <w:szCs w:val="32"/>
          <w:lang w:val="en-US" w:eastAsia="zh-CN" w:bidi="zh-CN"/>
        </w:rPr>
        <w:t>（四）学院管理：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对转入学生加强管理，制定新的修读计划。</w:t>
      </w:r>
    </w:p>
    <w:p w14:paraId="432A03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</w:p>
    <w:p w14:paraId="1E4351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六、学院联系人及方式</w:t>
      </w:r>
    </w:p>
    <w:p w14:paraId="69E834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（一）美术学专业联系人：刘汉，17723521310</w:t>
      </w:r>
    </w:p>
    <w:p w14:paraId="012A58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jc w:val="left"/>
        <w:textAlignment w:val="auto"/>
        <w:rPr>
          <w:rFonts w:hint="default" w:ascii="仿宋" w:hAnsi="仿宋" w:eastAsia="仿宋" w:cs="宋体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（二）广播电视编导专业联系人：彭婷婷，17302333575</w:t>
      </w:r>
    </w:p>
    <w:p w14:paraId="42906295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5E9A8548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03DF51D0">
      <w:pPr>
        <w:widowControl/>
        <w:spacing w:line="360" w:lineRule="atLeast"/>
        <w:ind w:firstLine="4820"/>
        <w:jc w:val="left"/>
        <w:rPr>
          <w:rFonts w:hint="eastAsia" w:ascii="仿宋" w:hAnsi="仿宋" w:eastAsia="仿宋" w:cs="宋体"/>
          <w:kern w:val="0"/>
          <w:sz w:val="30"/>
          <w:szCs w:val="30"/>
        </w:rPr>
      </w:pPr>
    </w:p>
    <w:p w14:paraId="697DA1A9">
      <w:pPr>
        <w:widowControl/>
        <w:spacing w:line="360" w:lineRule="atLeast"/>
        <w:jc w:val="center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 xml:space="preserve">                                        艺术</w:t>
      </w:r>
      <w:r>
        <w:rPr>
          <w:rFonts w:ascii="仿宋" w:hAnsi="仿宋" w:eastAsia="仿宋" w:cs="宋体"/>
          <w:kern w:val="0"/>
          <w:sz w:val="30"/>
          <w:szCs w:val="30"/>
        </w:rPr>
        <w:t>学院</w:t>
      </w:r>
    </w:p>
    <w:p w14:paraId="40839293">
      <w:pPr>
        <w:widowControl/>
        <w:spacing w:line="360" w:lineRule="atLeast"/>
        <w:ind w:firstLine="4820"/>
        <w:jc w:val="right"/>
        <w:rPr>
          <w:rFonts w:ascii="仿宋" w:hAnsi="仿宋" w:eastAsia="仿宋" w:cs="宋体"/>
          <w:kern w:val="0"/>
          <w:sz w:val="30"/>
          <w:szCs w:val="30"/>
        </w:rPr>
      </w:pPr>
      <w:r>
        <w:rPr>
          <w:rFonts w:ascii="仿宋" w:hAnsi="仿宋" w:eastAsia="仿宋" w:cs="宋体"/>
          <w:kern w:val="0"/>
          <w:sz w:val="30"/>
          <w:szCs w:val="30"/>
        </w:rPr>
        <w:t>202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5</w:t>
      </w:r>
      <w:r>
        <w:rPr>
          <w:rFonts w:ascii="仿宋" w:hAnsi="仿宋" w:eastAsia="仿宋" w:cs="宋体"/>
          <w:kern w:val="0"/>
          <w:sz w:val="30"/>
          <w:szCs w:val="30"/>
        </w:rPr>
        <w:t>年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8</w:t>
      </w:r>
      <w:r>
        <w:rPr>
          <w:rFonts w:ascii="仿宋" w:hAnsi="仿宋" w:eastAsia="仿宋" w:cs="宋体"/>
          <w:kern w:val="0"/>
          <w:sz w:val="30"/>
          <w:szCs w:val="30"/>
        </w:rPr>
        <w:t>月</w:t>
      </w:r>
      <w:r>
        <w:rPr>
          <w:rFonts w:hint="eastAsia" w:ascii="仿宋" w:hAnsi="仿宋" w:eastAsia="仿宋" w:cs="宋体"/>
          <w:kern w:val="0"/>
          <w:sz w:val="30"/>
          <w:szCs w:val="30"/>
          <w:lang w:val="en-US" w:eastAsia="zh-CN"/>
        </w:rPr>
        <w:t>30</w:t>
      </w:r>
      <w:r>
        <w:rPr>
          <w:rFonts w:hint="eastAsia" w:ascii="仿宋" w:hAnsi="仿宋" w:eastAsia="仿宋" w:cs="宋体"/>
          <w:kern w:val="0"/>
          <w:sz w:val="30"/>
          <w:szCs w:val="30"/>
        </w:rPr>
        <w:t>日</w:t>
      </w:r>
    </w:p>
    <w:p w14:paraId="4A7037FF">
      <w:pPr>
        <w:tabs>
          <w:tab w:val="left" w:pos="312"/>
        </w:tabs>
        <w:ind w:firstLine="643" w:firstLineChars="200"/>
        <w:rPr>
          <w:rFonts w:hint="eastAsia" w:ascii="楷体_GB2312" w:hAnsi="仿宋" w:eastAsia="楷体_GB2312"/>
          <w:b/>
          <w:sz w:val="32"/>
          <w:szCs w:val="32"/>
        </w:rPr>
      </w:pPr>
    </w:p>
    <w:p w14:paraId="32BA36DF">
      <w:pPr>
        <w:tabs>
          <w:tab w:val="left" w:pos="312"/>
        </w:tabs>
        <w:ind w:firstLine="643" w:firstLineChars="200"/>
        <w:rPr>
          <w:rFonts w:hint="eastAsia" w:ascii="楷体_GB2312" w:hAnsi="仿宋" w:eastAsia="楷体_GB2312"/>
          <w:b/>
          <w:sz w:val="32"/>
          <w:szCs w:val="32"/>
        </w:rPr>
      </w:pPr>
    </w:p>
    <w:p w14:paraId="1C71B38F">
      <w:pPr>
        <w:pStyle w:val="3"/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="仿宋"/>
          <w:lang w:val="en-US"/>
        </w:rPr>
      </w:pPr>
    </w:p>
    <w:p w14:paraId="2B8860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9604E"/>
    <w:rsid w:val="018F6A3E"/>
    <w:rsid w:val="0719604E"/>
    <w:rsid w:val="0EB9334C"/>
    <w:rsid w:val="0F7B6961"/>
    <w:rsid w:val="13453400"/>
    <w:rsid w:val="13B95599"/>
    <w:rsid w:val="25DF1492"/>
    <w:rsid w:val="26A76454"/>
    <w:rsid w:val="2A6E7289"/>
    <w:rsid w:val="2DF5411B"/>
    <w:rsid w:val="39255B93"/>
    <w:rsid w:val="49AF7A52"/>
    <w:rsid w:val="579B705F"/>
    <w:rsid w:val="61671D60"/>
    <w:rsid w:val="62503AE7"/>
    <w:rsid w:val="64C92268"/>
    <w:rsid w:val="67141D0B"/>
    <w:rsid w:val="6BCB7ABB"/>
    <w:rsid w:val="783F0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cs="宋体"/>
      <w:sz w:val="32"/>
      <w:szCs w:val="32"/>
      <w:lang w:val="zh-CN" w:bidi="zh-CN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8">
    <w:name w:val="p18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1265</Words>
  <Characters>1341</Characters>
  <Lines>0</Lines>
  <Paragraphs>0</Paragraphs>
  <TotalTime>102</TotalTime>
  <ScaleCrop>false</ScaleCrop>
  <LinksUpToDate>false</LinksUpToDate>
  <CharactersWithSpaces>1387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2025-01-07T05:17:00Z</dcterms:created>
  <dc:creator>范儿</dc:creator>
  <cp:lastModifiedBy>范儿</cp:lastModifiedBy>
  <dcterms:modified xsi:type="dcterms:W3CDTF">2025-09-01T10:59:33Z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666E954F1A8442DFADF094654BB22720_13</vt:lpwstr>
  </property>
  <property fmtid="{D5CDD505-2E9C-101B-9397-08002B2CF9AE}" pid="4" name="KSOTemplateDocerSaveRecord">
    <vt:lpwstr>eyJoZGlkIjoiMjdjYmNhOTI3NzcyOTc0NjUyODE1MGFiYTNjYWQwNWEiLCJ1c2VySWQiOiIxOTg5ODIyNTEifQ==</vt:lpwstr>
  </property>
</Properties>
</file>